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E8" w:rsidRDefault="005B7EE8" w:rsidP="005B7EE8">
      <w:r>
        <w:t>Acuerdo Salarial 2008</w:t>
      </w:r>
    </w:p>
    <w:p w:rsidR="005B7EE8" w:rsidRDefault="005B7EE8" w:rsidP="005B7EE8">
      <w:r>
        <w:t>Además de la Escala del Anexo I, se establece una suma fija mensual no remunerativa de PESOS CIENTO CINCUENTA ($150) por cada trabajador.</w:t>
      </w:r>
    </w:p>
    <w:p w:rsidR="005B7EE8" w:rsidRDefault="005B7EE8" w:rsidP="005B7EE8">
      <w:r>
        <w:t>En la Escala del Anexo II, se absorbe e incluye el valor no remunerativo del párrafo anterior.</w:t>
      </w:r>
    </w:p>
    <w:p w:rsidR="005B7EE8" w:rsidRDefault="005B7EE8" w:rsidP="005B7EE8">
      <w:r>
        <w:t>El presentismo determinado por el CCT Nº 56/75 en los términos allí convenidos se establece en la suma de CIENTO VEINTE PESOS ($120) por mes y/o SESENTA PESOS ($60) por quincena.</w:t>
      </w:r>
    </w:p>
    <w:p w:rsidR="005B7EE8" w:rsidRDefault="005B7EE8" w:rsidP="005B7EE8">
      <w:r>
        <w:t>Aquellas empresas que tuvieren establecido sistemas de presentismos diferentes al estipulado en el art. 17 del CCT Nº 56/75, mantendrán su naturaleza y vigencia, los que deberán adicionarse a los valores determinados en el párrafo anterior.</w:t>
      </w:r>
    </w:p>
    <w:p w:rsidR="005B7EE8" w:rsidRDefault="005B7EE8" w:rsidP="005B7EE8">
      <w:r>
        <w:t>Se ratifican los porcentajes por zona desfavorable.</w:t>
      </w:r>
    </w:p>
    <w:p w:rsidR="00093B92" w:rsidRDefault="00093B92"/>
    <w:sectPr w:rsidR="00093B92" w:rsidSect="00093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7EE8"/>
    <w:rsid w:val="00093B92"/>
    <w:rsid w:val="00563FF0"/>
    <w:rsid w:val="005B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616</Characters>
  <Application>Microsoft Office Word</Application>
  <DocSecurity>0</DocSecurity>
  <Lines>5</Lines>
  <Paragraphs>1</Paragraphs>
  <ScaleCrop>false</ScaleCrop>
  <Company>Personal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2013-09-03T19:34:00Z</dcterms:created>
  <dcterms:modified xsi:type="dcterms:W3CDTF">2013-09-03T19:43:00Z</dcterms:modified>
</cp:coreProperties>
</file>