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2" w:rsidRDefault="0040220F" w:rsidP="0040220F">
      <w:pPr>
        <w:jc w:val="both"/>
      </w:pPr>
      <w:r>
        <w:t>Acuerdo Salarial 2016 – CECA</w:t>
      </w:r>
    </w:p>
    <w:p w:rsidR="0040220F" w:rsidRDefault="0040220F" w:rsidP="0040220F">
      <w:pPr>
        <w:jc w:val="both"/>
      </w:pPr>
    </w:p>
    <w:p w:rsidR="0040220F" w:rsidRDefault="0040220F" w:rsidP="0040220F">
      <w:pPr>
        <w:jc w:val="both"/>
      </w:pPr>
      <w:r>
        <w:t>Desde el 01 de Julio de 2016 al 28 de Febrero de 2017 corresponde Escala Salarial Anexo I y Escala Salarial Anexo II – No Remunerativo. Las dos escalas en cada liquidación salarial, es decir: El Anexo I con carácter remunerativo y el Anexo II con carácter No Remunerativo. Ambas escalas integran el Salario de cada mes dentro del período referido.</w:t>
      </w:r>
    </w:p>
    <w:p w:rsidR="0040220F" w:rsidRDefault="0040220F" w:rsidP="0040220F">
      <w:pPr>
        <w:jc w:val="both"/>
      </w:pPr>
    </w:p>
    <w:p w:rsidR="0040220F" w:rsidRDefault="0040220F" w:rsidP="0040220F">
      <w:pPr>
        <w:jc w:val="both"/>
      </w:pPr>
      <w:r>
        <w:t>Desde el 01 de Marzo de 2017 corresponde Escala Salarial Anexo III.</w:t>
      </w:r>
    </w:p>
    <w:p w:rsidR="0040220F" w:rsidRDefault="0040220F" w:rsidP="0040220F">
      <w:pPr>
        <w:jc w:val="both"/>
      </w:pPr>
    </w:p>
    <w:p w:rsidR="0040220F" w:rsidRDefault="0040220F" w:rsidP="0040220F">
      <w:pPr>
        <w:jc w:val="both"/>
      </w:pPr>
      <w:r>
        <w:t>El Presentismo determinado en el CCT 56/75 para el período comprendido entre el 01 de Julio de 2016 y hasta el 31 de Marzo de 2017</w:t>
      </w:r>
      <w:r w:rsidR="007E0F8E">
        <w:t xml:space="preserve"> es de $ 770.40 por mes y/o $ 385,20 por quincena.</w:t>
      </w:r>
    </w:p>
    <w:p w:rsidR="007E0F8E" w:rsidRDefault="007E0F8E" w:rsidP="0040220F">
      <w:pPr>
        <w:jc w:val="both"/>
      </w:pPr>
    </w:p>
    <w:p w:rsidR="007E0F8E" w:rsidRDefault="007E0F8E" w:rsidP="0040220F">
      <w:pPr>
        <w:jc w:val="both"/>
      </w:pPr>
      <w:r>
        <w:t>La escala Anexo II es computable para la liquidación de: a) Vacaciones, b) Horas Extraordinarias, Sueldo Anual Complementario e Indemnizaciones legales, d) Adicionales de Convenio y Premios y cualquier retribución que se calcule sobre el salario básico. Del mismo modo se aplicará para los días por enfermedad y accidentes inculpables y/o de trabajo y licencias legales o convencionales pagas por el empleador o los organismos de seguridad social.</w:t>
      </w:r>
    </w:p>
    <w:p w:rsidR="007E0F8E" w:rsidRDefault="007E0F8E" w:rsidP="0040220F">
      <w:pPr>
        <w:jc w:val="both"/>
      </w:pPr>
    </w:p>
    <w:p w:rsidR="007E0F8E" w:rsidRDefault="007E0F8E" w:rsidP="0040220F">
      <w:pPr>
        <w:jc w:val="both"/>
      </w:pPr>
      <w:r>
        <w:t>Se ratifican los porcentajes por zona desfavorable:</w:t>
      </w:r>
    </w:p>
    <w:p w:rsidR="007E0F8E" w:rsidRDefault="007E0F8E" w:rsidP="0040220F">
      <w:pPr>
        <w:jc w:val="both"/>
      </w:pPr>
      <w:r>
        <w:t>Chubut (Zona 1.10)</w:t>
      </w:r>
    </w:p>
    <w:p w:rsidR="007E0F8E" w:rsidRDefault="007E0F8E" w:rsidP="0040220F">
      <w:pPr>
        <w:jc w:val="both"/>
      </w:pPr>
      <w:r>
        <w:t>Santa Cruz y Tierra del Fuego (Zona 1.20)</w:t>
      </w:r>
    </w:p>
    <w:sectPr w:rsidR="007E0F8E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220F"/>
    <w:rsid w:val="00093B92"/>
    <w:rsid w:val="0040220F"/>
    <w:rsid w:val="004726D2"/>
    <w:rsid w:val="00652F83"/>
    <w:rsid w:val="007E0F8E"/>
    <w:rsid w:val="00E4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2016-07-27T14:32:00Z</dcterms:created>
  <dcterms:modified xsi:type="dcterms:W3CDTF">2016-07-27T14:54:00Z</dcterms:modified>
</cp:coreProperties>
</file>