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D5" w:rsidRDefault="00913FD5" w:rsidP="00913FD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Acuerdo Salarial 2017</w:t>
      </w:r>
    </w:p>
    <w:p w:rsidR="00913FD5" w:rsidRDefault="00913FD5" w:rsidP="00913FD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Desde el 01-05-2017</w:t>
      </w:r>
      <w:r>
        <w:rPr>
          <w:rFonts w:ascii="Arial" w:hAnsi="Arial" w:cs="Arial"/>
          <w:color w:val="333333"/>
          <w:sz w:val="20"/>
          <w:szCs w:val="20"/>
        </w:rPr>
        <w:t xml:space="preserve"> al 30-1</w:t>
      </w:r>
      <w:r>
        <w:rPr>
          <w:rFonts w:ascii="Arial" w:hAnsi="Arial" w:cs="Arial"/>
          <w:color w:val="333333"/>
          <w:sz w:val="20"/>
          <w:szCs w:val="20"/>
        </w:rPr>
        <w:t>1</w:t>
      </w:r>
      <w:r>
        <w:rPr>
          <w:rFonts w:ascii="Arial" w:hAnsi="Arial" w:cs="Arial"/>
          <w:color w:val="333333"/>
          <w:sz w:val="20"/>
          <w:szCs w:val="20"/>
        </w:rPr>
        <w:t>-201</w:t>
      </w: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 xml:space="preserve"> corr</w:t>
      </w:r>
      <w:r>
        <w:rPr>
          <w:rFonts w:ascii="Arial" w:hAnsi="Arial" w:cs="Arial"/>
          <w:color w:val="333333"/>
          <w:sz w:val="20"/>
          <w:szCs w:val="20"/>
        </w:rPr>
        <w:t>esponde Escala Salarial Anexo I (Remunerativo) y Anexo I (No Remunerativo)</w:t>
      </w:r>
    </w:p>
    <w:p w:rsidR="00913FD5" w:rsidRDefault="00913FD5" w:rsidP="00913FD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Desde el 01-1</w:t>
      </w:r>
      <w:r>
        <w:rPr>
          <w:rFonts w:ascii="Arial" w:hAnsi="Arial" w:cs="Arial"/>
          <w:color w:val="333333"/>
          <w:sz w:val="20"/>
          <w:szCs w:val="20"/>
        </w:rPr>
        <w:t>2</w:t>
      </w:r>
      <w:r>
        <w:rPr>
          <w:rFonts w:ascii="Arial" w:hAnsi="Arial" w:cs="Arial"/>
          <w:color w:val="333333"/>
          <w:sz w:val="20"/>
          <w:szCs w:val="20"/>
        </w:rPr>
        <w:t>-201</w:t>
      </w: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 xml:space="preserve"> al 30-04-201</w:t>
      </w:r>
      <w:r>
        <w:rPr>
          <w:rFonts w:ascii="Arial" w:hAnsi="Arial" w:cs="Arial"/>
          <w:color w:val="333333"/>
          <w:sz w:val="20"/>
          <w:szCs w:val="20"/>
        </w:rPr>
        <w:t>8</w:t>
      </w:r>
      <w:r>
        <w:rPr>
          <w:rFonts w:ascii="Arial" w:hAnsi="Arial" w:cs="Arial"/>
          <w:color w:val="333333"/>
          <w:sz w:val="20"/>
          <w:szCs w:val="20"/>
        </w:rPr>
        <w:t xml:space="preserve"> corresponde Escala Salarial Anexo II</w:t>
      </w:r>
      <w:r>
        <w:rPr>
          <w:rFonts w:ascii="Arial" w:hAnsi="Arial" w:cs="Arial"/>
          <w:color w:val="333333"/>
          <w:sz w:val="20"/>
          <w:szCs w:val="20"/>
        </w:rPr>
        <w:t xml:space="preserve"> (Remunerativo) y Anexo II (No Remunerativo)</w:t>
      </w:r>
    </w:p>
    <w:p w:rsidR="00913FD5" w:rsidRDefault="00913FD5" w:rsidP="00913FD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El porcentual de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Style w:val="nfasis"/>
          <w:rFonts w:ascii="Arial" w:hAnsi="Arial" w:cs="Arial"/>
          <w:b/>
          <w:bCs/>
          <w:color w:val="333333"/>
          <w:sz w:val="20"/>
          <w:szCs w:val="20"/>
        </w:rPr>
        <w:t>ASISTENCIA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establecido en el CCT 607/10 se mantiene en el 11%.</w:t>
      </w:r>
      <w:bookmarkStart w:id="0" w:name="_GoBack"/>
      <w:bookmarkEnd w:id="0"/>
    </w:p>
    <w:p w:rsidR="00913FD5" w:rsidRDefault="00913FD5" w:rsidP="00913FD5">
      <w:pPr>
        <w:pStyle w:val="NormalWeb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Se suscribió un Acta Compromiso para reunirse en el mes de Noviembre de 201</w:t>
      </w:r>
      <w:r>
        <w:rPr>
          <w:rFonts w:ascii="Arial" w:hAnsi="Arial" w:cs="Arial"/>
          <w:color w:val="333333"/>
          <w:sz w:val="20"/>
          <w:szCs w:val="20"/>
        </w:rPr>
        <w:t>7</w:t>
      </w:r>
      <w:r>
        <w:rPr>
          <w:rFonts w:ascii="Arial" w:hAnsi="Arial" w:cs="Arial"/>
          <w:color w:val="333333"/>
          <w:sz w:val="20"/>
          <w:szCs w:val="20"/>
        </w:rPr>
        <w:t xml:space="preserve"> con el fin de discutir una gratificación por única vez, la que sería percibida por todos los trabajadores a partir del mes de Diciembre del año 2016, con fecha límite para su cancelación el mes de marzo de 201</w:t>
      </w:r>
      <w:r>
        <w:rPr>
          <w:rFonts w:ascii="Arial" w:hAnsi="Arial" w:cs="Arial"/>
          <w:color w:val="333333"/>
          <w:sz w:val="20"/>
          <w:szCs w:val="20"/>
        </w:rPr>
        <w:t>8</w:t>
      </w:r>
      <w:r>
        <w:rPr>
          <w:rFonts w:ascii="Arial" w:hAnsi="Arial" w:cs="Arial"/>
          <w:color w:val="333333"/>
          <w:sz w:val="20"/>
          <w:szCs w:val="20"/>
        </w:rPr>
        <w:t>.</w:t>
      </w:r>
    </w:p>
    <w:p w:rsidR="006A3E74" w:rsidRDefault="006A3E74"/>
    <w:sectPr w:rsidR="006A3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D5"/>
    <w:rsid w:val="006A3E74"/>
    <w:rsid w:val="0091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13FD5"/>
  </w:style>
  <w:style w:type="character" w:styleId="nfasis">
    <w:name w:val="Emphasis"/>
    <w:basedOn w:val="Fuentedeprrafopredeter"/>
    <w:uiPriority w:val="20"/>
    <w:qFormat/>
    <w:rsid w:val="00913F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apple-converted-space">
    <w:name w:val="apple-converted-space"/>
    <w:basedOn w:val="Fuentedeprrafopredeter"/>
    <w:rsid w:val="00913FD5"/>
  </w:style>
  <w:style w:type="character" w:styleId="nfasis">
    <w:name w:val="Emphasis"/>
    <w:basedOn w:val="Fuentedeprrafopredeter"/>
    <w:uiPriority w:val="20"/>
    <w:qFormat/>
    <w:rsid w:val="00913F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</cp:lastModifiedBy>
  <cp:revision>1</cp:revision>
  <dcterms:created xsi:type="dcterms:W3CDTF">2017-06-13T18:31:00Z</dcterms:created>
  <dcterms:modified xsi:type="dcterms:W3CDTF">2017-06-13T18:37:00Z</dcterms:modified>
</cp:coreProperties>
</file>